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firstLine="640" w:firstLineChars="200"/>
        <w:rPr>
          <w:rFonts w:ascii="Times New Roman" w:hAnsi="Times New Roman" w:eastAsia="仿宋_GB2312" w:cs="Times New Roman"/>
          <w:sz w:val="32"/>
          <w:szCs w:val="32"/>
        </w:rPr>
      </w:pPr>
    </w:p>
    <w:p>
      <w:pPr>
        <w:pStyle w:val="10"/>
        <w:jc w:val="center"/>
        <w:rPr>
          <w:rFonts w:ascii="Times New Roman" w:hAnsi="Times New Roman" w:cs="Times New Roman"/>
          <w:sz w:val="32"/>
          <w:szCs w:val="32"/>
        </w:rPr>
      </w:pPr>
      <w:r>
        <w:rPr>
          <w:rFonts w:ascii="Times New Roman" w:hAnsi="Times New Roman" w:cs="Times New Roman"/>
          <w:sz w:val="44"/>
          <w:szCs w:val="44"/>
        </w:rPr>
        <w:t>集成电路布图设计保护条例</w:t>
      </w:r>
    </w:p>
    <w:p>
      <w:pPr>
        <w:pStyle w:val="10"/>
        <w:ind w:firstLine="640" w:firstLineChars="200"/>
        <w:jc w:val="center"/>
        <w:rPr>
          <w:rFonts w:ascii="Times New Roman" w:hAnsi="Times New Roman" w:cs="Times New Roman"/>
          <w:sz w:val="32"/>
          <w:szCs w:val="32"/>
        </w:rPr>
      </w:pPr>
    </w:p>
    <w:p>
      <w:pPr>
        <w:pStyle w:val="10"/>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(2001年3月28日国务院第36次常务会议通过　2001年4月2日中华人民共和国国务院令第300号公布　自2001年10月1日起施行)</w:t>
      </w:r>
    </w:p>
    <w:p>
      <w:pPr>
        <w:pStyle w:val="2"/>
        <w:bidi w:val="0"/>
      </w:pPr>
      <w:r>
        <w:t>第</w:t>
      </w:r>
      <w:bookmarkStart w:id="0" w:name="_GoBack"/>
      <w:bookmarkEnd w:id="0"/>
      <w:r>
        <w:t>一章　总则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　</w:t>
      </w:r>
      <w:r>
        <w:rPr>
          <w:rFonts w:ascii="Times New Roman" w:hAnsi="Times New Roman" w:eastAsia="仿宋_GB2312" w:cs="Times New Roman"/>
          <w:sz w:val="32"/>
          <w:szCs w:val="32"/>
        </w:rPr>
        <w:t>为了保护集成电路布图设计专有权，鼓励集成电路技术的创新，促进科学技术的发展，制定本条例。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　</w:t>
      </w:r>
      <w:r>
        <w:rPr>
          <w:rFonts w:ascii="Times New Roman" w:hAnsi="Times New Roman" w:eastAsia="仿宋_GB2312" w:cs="Times New Roman"/>
          <w:sz w:val="32"/>
          <w:szCs w:val="32"/>
        </w:rPr>
        <w:t>本条例下列用语的含义：</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(一)集成电路，是指半导体集成电路，即以半导体材料为基片，将至少有一个是有源元件的两个以上元件和部分或者全部互连线路集成在基片之中或者基片之上，以执行某种电子功能的中间产品或者最终产品；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(二)集成电路布图设计(以下简称布图设计)，是指集成电路中至少有一个是有源元件的两个以上元件和部分或者全部互连线路的三维配置，或者为制造集成电路而准备的上述三维配置；</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(三)布图设计权利人，是指依照本条例的规定，对布图设计享有专有权的自然人、法人或者其他组织；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(四)复制，是指重复制作布图设计或者含有该布图设计的集成电路的行为；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(五)商业利用，是指为商业目的进口、销售或者以其他方式提供受保护的布图设计、含有该布图设计的集成电路或者含有该集成电路的物品的行为。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　</w:t>
      </w:r>
      <w:r>
        <w:rPr>
          <w:rFonts w:ascii="Times New Roman" w:hAnsi="Times New Roman" w:eastAsia="仿宋_GB2312" w:cs="Times New Roman"/>
          <w:sz w:val="32"/>
          <w:szCs w:val="32"/>
        </w:rPr>
        <w:t>中国自然人、法人或者其他组织创作的布图设计，依照本条例享有布图设计专有权。</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外国人创作的布图设计首先在中国境内投入商业利用的，依照本条例享有布图设计专有权。</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外国人创作的布图设计，其创作者所属国同中国签订有关布图设计保护协议或者与中国共同参加有关布图设计保护国际条约的，依照本条例享有布图设计专有权。</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　</w:t>
      </w:r>
      <w:r>
        <w:rPr>
          <w:rFonts w:ascii="Times New Roman" w:hAnsi="Times New Roman" w:eastAsia="仿宋_GB2312" w:cs="Times New Roman"/>
          <w:sz w:val="32"/>
          <w:szCs w:val="32"/>
        </w:rPr>
        <w:t>受保护的布图设计应当具有独创性，即该布图设计是创作者自己的智力劳动成果，并且在其创作时该布图设计在布图设计创作者和集成电路制造者中不是公认的常规设计。</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受保护的由常规设计组成的布图设计，其组合作为整体应当符合前款规定的条件。</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　</w:t>
      </w:r>
      <w:r>
        <w:rPr>
          <w:rFonts w:ascii="Times New Roman" w:hAnsi="Times New Roman" w:eastAsia="仿宋_GB2312" w:cs="Times New Roman"/>
          <w:sz w:val="32"/>
          <w:szCs w:val="32"/>
        </w:rPr>
        <w:t>本条例对布图设计的保护，不延及思想、处理过程、操作方法或者数学概念等。</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　</w:t>
      </w:r>
      <w:r>
        <w:rPr>
          <w:rFonts w:ascii="Times New Roman" w:hAnsi="Times New Roman" w:eastAsia="仿宋_GB2312" w:cs="Times New Roman"/>
          <w:sz w:val="32"/>
          <w:szCs w:val="32"/>
        </w:rPr>
        <w:t>国务院知识产权行政部门依照本条例的规定，负责布图设计专有权的有关管理工作。</w:t>
      </w:r>
    </w:p>
    <w:p>
      <w:pPr>
        <w:pStyle w:val="2"/>
        <w:bidi w:val="0"/>
      </w:pPr>
      <w:r>
        <w:t>第二章　布图设计专有权</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　</w:t>
      </w:r>
      <w:r>
        <w:rPr>
          <w:rFonts w:ascii="Times New Roman" w:hAnsi="Times New Roman" w:eastAsia="仿宋_GB2312" w:cs="Times New Roman"/>
          <w:sz w:val="32"/>
          <w:szCs w:val="32"/>
        </w:rPr>
        <w:t>布图设计权利人享有下列专有权：</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(一)对受保护的布图设计的全部或者其中任何具有独创性的部分进行复制；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(二)将受保护的布图设计、含有该布图设计的集成电路或者含有该集成电路的物品投入商业利用。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　</w:t>
      </w:r>
      <w:r>
        <w:rPr>
          <w:rFonts w:ascii="Times New Roman" w:hAnsi="Times New Roman" w:eastAsia="仿宋_GB2312" w:cs="Times New Roman"/>
          <w:sz w:val="32"/>
          <w:szCs w:val="32"/>
        </w:rPr>
        <w:t>布图设计专有权经国务院知识产权行政部门登记产生。</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未经登记的布图设计不受本条例保护。</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　</w:t>
      </w:r>
      <w:r>
        <w:rPr>
          <w:rFonts w:ascii="Times New Roman" w:hAnsi="Times New Roman" w:eastAsia="仿宋_GB2312" w:cs="Times New Roman"/>
          <w:sz w:val="32"/>
          <w:szCs w:val="32"/>
        </w:rPr>
        <w:t>布图设计专有权属于布图设计创作者，本条例另有规定的除外。</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由法人或者其他组织主持，依据法人或者其他组织的意志而创作，并由法人或者其他组织承担责任的布图设计，该法人或者其他组织是创作者。</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由自然人创作的布图设计，该自然人是创作者。</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　</w:t>
      </w:r>
      <w:r>
        <w:rPr>
          <w:rFonts w:ascii="Times New Roman" w:hAnsi="Times New Roman" w:eastAsia="仿宋_GB2312" w:cs="Times New Roman"/>
          <w:sz w:val="32"/>
          <w:szCs w:val="32"/>
        </w:rPr>
        <w:t>两个以上自然人、法人或者其他组织合作创作的布图设计，其专有权的归属由合作者约定；未作约定或者约定不明的，其专有权由合作者共同享有。</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　</w:t>
      </w:r>
      <w:r>
        <w:rPr>
          <w:rFonts w:ascii="Times New Roman" w:hAnsi="Times New Roman" w:eastAsia="仿宋_GB2312" w:cs="Times New Roman"/>
          <w:sz w:val="32"/>
          <w:szCs w:val="32"/>
        </w:rPr>
        <w:t>受委托创作的布图设计，其专有权的归属由委托人和受托人双方约定；未作约定或者约定不明的，其专有权由受托人享有。</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　</w:t>
      </w:r>
      <w:r>
        <w:rPr>
          <w:rFonts w:ascii="Times New Roman" w:hAnsi="Times New Roman" w:eastAsia="仿宋_GB2312" w:cs="Times New Roman"/>
          <w:sz w:val="32"/>
          <w:szCs w:val="32"/>
        </w:rPr>
        <w:t>布图设计专有权的保护期为10年，自布图设计登记申请之日或者在世界任何地方首次投入商业利用之日起计算，以较前日期为准。但是，无论是否登记或者投入商业利用，布图设计自创作完成之日起15年后，不再受本条例保护。</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　</w:t>
      </w:r>
      <w:r>
        <w:rPr>
          <w:rFonts w:ascii="Times New Roman" w:hAnsi="Times New Roman" w:eastAsia="仿宋_GB2312" w:cs="Times New Roman"/>
          <w:sz w:val="32"/>
          <w:szCs w:val="32"/>
        </w:rPr>
        <w:t>布图设计专有权属于自然人的，该自然人死亡后，其专有权在本条例规定的保护期内依照继承法的规定转移。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布图设计专有权属于法人或者其他组织的，法人或者其他组织变更、终止后，其专有权在本条例规定的保护期内由承继其权利、义务的法人或者其他组织享有；没有承继其权利、义务的法人或者其他组织的，该布图设计进入公有领域。</w:t>
      </w:r>
    </w:p>
    <w:p>
      <w:pPr>
        <w:pStyle w:val="2"/>
        <w:bidi w:val="0"/>
      </w:pPr>
      <w:r>
        <w:t>第三章　布图设计的登记</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　</w:t>
      </w:r>
      <w:r>
        <w:rPr>
          <w:rFonts w:ascii="Times New Roman" w:hAnsi="Times New Roman" w:eastAsia="仿宋_GB2312" w:cs="Times New Roman"/>
          <w:sz w:val="32"/>
          <w:szCs w:val="32"/>
        </w:rPr>
        <w:t>国务院知识产权行政部门负责布图设计登记工作，受理布图设计登记申请。</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　</w:t>
      </w:r>
      <w:r>
        <w:rPr>
          <w:rFonts w:ascii="Times New Roman" w:hAnsi="Times New Roman" w:eastAsia="仿宋_GB2312" w:cs="Times New Roman"/>
          <w:sz w:val="32"/>
          <w:szCs w:val="32"/>
        </w:rPr>
        <w:t>申请登记的布图设计涉及国家安全或者重大利益，需要保密的，按照国家有关规定办理。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　</w:t>
      </w:r>
      <w:r>
        <w:rPr>
          <w:rFonts w:ascii="Times New Roman" w:hAnsi="Times New Roman" w:eastAsia="仿宋_GB2312" w:cs="Times New Roman"/>
          <w:sz w:val="32"/>
          <w:szCs w:val="32"/>
        </w:rPr>
        <w:t>申请布图设计登记，应当提交：</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(一)布图设计登记申请表；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(二)布图设计的复制件或者图样；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(三)布图设计已投入商业利用的，提交含有该布图设计的集成电路样品；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(四)国务院知识产权行政部门规定的其他材料。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　</w:t>
      </w:r>
      <w:r>
        <w:rPr>
          <w:rFonts w:ascii="Times New Roman" w:hAnsi="Times New Roman" w:eastAsia="仿宋_GB2312" w:cs="Times New Roman"/>
          <w:sz w:val="32"/>
          <w:szCs w:val="32"/>
        </w:rPr>
        <w:t>布图设计自其在世界任何地方首次商业利用之日起2年内，未向国务院知识产权行政部门提出登记申请的，国务院知识产权行政部门不再予以登记。</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　</w:t>
      </w:r>
      <w:r>
        <w:rPr>
          <w:rFonts w:ascii="Times New Roman" w:hAnsi="Times New Roman" w:eastAsia="仿宋_GB2312" w:cs="Times New Roman"/>
          <w:sz w:val="32"/>
          <w:szCs w:val="32"/>
        </w:rPr>
        <w:t>布图设计登记申请经初步审查，未发现驳回理由的，由国务院知识产权行政部门予以登记，发给登记证明文件，并予以公告。</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　</w:t>
      </w:r>
      <w:r>
        <w:rPr>
          <w:rFonts w:ascii="Times New Roman" w:hAnsi="Times New Roman" w:eastAsia="仿宋_GB2312" w:cs="Times New Roman"/>
          <w:sz w:val="32"/>
          <w:szCs w:val="32"/>
        </w:rPr>
        <w:t>布图设计登记申请人对国务院知识产权行政部门驳回其登记申请的决定不服的，可以自收到通知之日起3个月内，向国务院知识产权行政部门请求复审。国务院知识产权行政部门复审后，作出决定，并通知布图设计登记申请人。布图设计登记申请人对国务院知识产权行政部门的复审决定仍不服的，可以自收到通知之日起3个月内向人民法院起诉。</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　</w:t>
      </w:r>
      <w:r>
        <w:rPr>
          <w:rFonts w:ascii="Times New Roman" w:hAnsi="Times New Roman" w:eastAsia="仿宋_GB2312" w:cs="Times New Roman"/>
          <w:sz w:val="32"/>
          <w:szCs w:val="32"/>
        </w:rPr>
        <w:t>布图设计获准登记后，国务院知识产权行政部门发现该登记不符合本条例规定的，应当予以撤销，通知布图设计权利人，并予以公告。布图设计权利人对国务院知识产权行政部门撤销布图设计登记的决定不服的，可以自收到通知之日起3个月内向人民法院起诉。</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　</w:t>
      </w:r>
      <w:r>
        <w:rPr>
          <w:rFonts w:ascii="Times New Roman" w:hAnsi="Times New Roman" w:eastAsia="仿宋_GB2312" w:cs="Times New Roman"/>
          <w:sz w:val="32"/>
          <w:szCs w:val="32"/>
        </w:rPr>
        <w:t>在布图设计登记公告前，国务院知识产权行政部门的工作人员对其内容负有保密义务。</w:t>
      </w:r>
    </w:p>
    <w:p>
      <w:pPr>
        <w:pStyle w:val="2"/>
        <w:bidi w:val="0"/>
      </w:pPr>
      <w:r>
        <w:t>第四章　布图设计专有权的行使</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　</w:t>
      </w:r>
      <w:r>
        <w:rPr>
          <w:rFonts w:ascii="Times New Roman" w:hAnsi="Times New Roman" w:eastAsia="仿宋_GB2312" w:cs="Times New Roman"/>
          <w:sz w:val="32"/>
          <w:szCs w:val="32"/>
        </w:rPr>
        <w:t>布图设计权利人可以将其专有权转让或者许可他人使用其布图设计。</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转让布图设计专有权的，当事人应当订立书面合同，并向国务院知识产权行政部门登记，由国务院知识产权行政部门予以公告。布图设计专有权的转让自登记之日起生效。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许可他人使用其布图设计的，当事人应当订立书面合同。</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　</w:t>
      </w:r>
      <w:r>
        <w:rPr>
          <w:rFonts w:ascii="Times New Roman" w:hAnsi="Times New Roman" w:eastAsia="仿宋_GB2312" w:cs="Times New Roman"/>
          <w:sz w:val="32"/>
          <w:szCs w:val="32"/>
        </w:rPr>
        <w:t>下列行为可以不经布图设计权利人许可，不向其支付报酬：</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(一)为个人目的或者单纯为评价、分析、研究、教学等目的而复制受保护的布图设计的；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(二)在依据前项评价、分析受保护的布图设计的基础上，创作出具有独创性的布图设计的；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(三)对自己独立创作的与他人相同的布图设计进行复制或者将其投入商业利用的。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　</w:t>
      </w:r>
      <w:r>
        <w:rPr>
          <w:rFonts w:ascii="Times New Roman" w:hAnsi="Times New Roman" w:eastAsia="仿宋_GB2312" w:cs="Times New Roman"/>
          <w:sz w:val="32"/>
          <w:szCs w:val="32"/>
        </w:rPr>
        <w:t>受保护的布图设计、含有该布图设计的集成电路或者含有该集成电路的物品，由布图设计权利人或者经其许可投放市场后，他人再次商业利用的，可以不经布图设计权利人许可，并不向其支付报酬。</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　</w:t>
      </w:r>
      <w:r>
        <w:rPr>
          <w:rFonts w:ascii="Times New Roman" w:hAnsi="Times New Roman" w:eastAsia="仿宋_GB2312" w:cs="Times New Roman"/>
          <w:sz w:val="32"/>
          <w:szCs w:val="32"/>
        </w:rPr>
        <w:t>在国家出现紧急状态或者非常情况时，或者为了公共利益的目的，或者经人民法院、不正当竞争行为监督检查部门依法认定布图设计权利人有不正当竞争行为而需要给予补救时，国务院知识产权行政部门可以给予使用其布图设计的非自愿许可。</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　</w:t>
      </w:r>
      <w:r>
        <w:rPr>
          <w:rFonts w:ascii="Times New Roman" w:hAnsi="Times New Roman" w:eastAsia="仿宋_GB2312" w:cs="Times New Roman"/>
          <w:sz w:val="32"/>
          <w:szCs w:val="32"/>
        </w:rPr>
        <w:t>国务院知识产权行政部门作出给予使用布图设计非自愿许可的决定，应当及时通知布图设计权利人。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给予使用布图设计非自愿许可的决定，应当根据非自愿许可的理由，规定使用的范围和时间，其范围应当限于为公共目的非商业性使用，或者限于经人民法院、不正当竞争行为监督检查部门依法认定布图设计权利人有不正当竞争行为而需要给予的补救。</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非自愿许可的理由消除并不再发生时，国务院知识产权行政部门应当根据布图设计权利人的请求，经审查后作出终止使用布图设计非自愿许可的决定。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　</w:t>
      </w:r>
      <w:r>
        <w:rPr>
          <w:rFonts w:ascii="Times New Roman" w:hAnsi="Times New Roman" w:eastAsia="仿宋_GB2312" w:cs="Times New Roman"/>
          <w:sz w:val="32"/>
          <w:szCs w:val="32"/>
        </w:rPr>
        <w:t>取得使用布图设计非自愿许可的自然人、法人或者其他组织不享有独占的使用权，并且无权允许他人使用。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第二十八条　</w:t>
      </w:r>
      <w:r>
        <w:rPr>
          <w:rFonts w:ascii="Times New Roman" w:hAnsi="Times New Roman" w:eastAsia="仿宋_GB2312" w:cs="Times New Roman"/>
          <w:sz w:val="32"/>
          <w:szCs w:val="32"/>
        </w:rPr>
        <w:t>取得使用布图设计非自愿许可的自然人、法人或者其他组织应当向布图设计权利人支付合理的报酬，其数额由双方协商；双方不能达成协议的，由国务院知识产权行政部门裁决。</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　</w:t>
      </w:r>
      <w:r>
        <w:rPr>
          <w:rFonts w:ascii="Times New Roman" w:hAnsi="Times New Roman" w:eastAsia="仿宋_GB2312" w:cs="Times New Roman"/>
          <w:sz w:val="32"/>
          <w:szCs w:val="32"/>
        </w:rPr>
        <w:t>布图设计权利人对国务院知识产权行政部门关于使用布图设计非自愿许可的决定不服的，布图设计权利人和取得非自愿许可的自然人、法人或者其他组织对国务院知识产权行政部门关于使用布图设计非自愿许可的报酬的裁决不服的，可以自收到通知之日起3个月内向人民法院起诉。</w:t>
      </w:r>
    </w:p>
    <w:p>
      <w:pPr>
        <w:pStyle w:val="2"/>
        <w:bidi w:val="0"/>
      </w:pPr>
      <w:r>
        <w:t>第五章　法律责任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　</w:t>
      </w:r>
      <w:r>
        <w:rPr>
          <w:rFonts w:ascii="Times New Roman" w:hAnsi="Times New Roman" w:eastAsia="仿宋_GB2312" w:cs="Times New Roman"/>
          <w:sz w:val="32"/>
          <w:szCs w:val="32"/>
        </w:rPr>
        <w:t>除本条例另有规定的外，未经布图设计权利人许可，有下列行为之一的，行为人必须立即停止侵权行为，并承担赔偿责任：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(一)复制受保护的布图设计的全部或者其中任何具有独创性的部分的；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(二)为商业目的进口、销售或者以其他方式提供受保护的布图设计、含有该布图设计的集成电路或者含有该集成电路的物品的。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侵犯布图设计专有权的赔偿数额，为侵权人所获得的利益或者被侵权人所受到的损失，包括被侵权人为制止侵权行为所支付的合理开支。</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第三十一条　</w:t>
      </w:r>
      <w:r>
        <w:rPr>
          <w:rFonts w:ascii="Times New Roman" w:hAnsi="Times New Roman" w:eastAsia="仿宋_GB2312" w:cs="Times New Roman"/>
          <w:sz w:val="32"/>
          <w:szCs w:val="32"/>
        </w:rPr>
        <w:t>未经布图设计权利人许可，使用其布图设计，即侵犯其布图设计专有权，引起纠纷的，由当事人协商解决；不愿协商或者协商不成的，布图设计权利人或者利害关系人可以向人民法院起诉，也可以请求国务院知识产权行政部门处理。国务院知识产权行政部门处理时，认定侵权行为成立的，可以责令侵权人立即停止侵权行为，没收、销毁侵权产品或者物品。当事人不服的，可以自收到处理通知之日起15日内依照《中华人民共和国行政诉讼法》向人民法院起诉；侵权人期满不起诉又不停止侵权行为的，国务院知识产权行政部门可以请求人民法院强制执行。应当事人的请求，国务院知识产权行政部门可以就侵犯布图设计专有权的赔偿数额进行调解；调解不成的，当事人可以依照《中华人民共和国民事诉讼法》向人民法院起诉。</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第三十二条　</w:t>
      </w:r>
      <w:r>
        <w:rPr>
          <w:rFonts w:ascii="Times New Roman" w:hAnsi="Times New Roman" w:eastAsia="仿宋_GB2312" w:cs="Times New Roman"/>
          <w:sz w:val="32"/>
          <w:szCs w:val="32"/>
        </w:rPr>
        <w:t>布图设计权利人或者利害关系人有证据证明他人正在实施或者即将实施侵犯其专有权的行为，如不及时制止将会使其合法权益受到难以弥补的损害的，可以在起诉前依法向人民法院申请采取责令停止有关行为和财产保全的措施。</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第三十三条　</w:t>
      </w:r>
      <w:r>
        <w:rPr>
          <w:rFonts w:ascii="Times New Roman" w:hAnsi="Times New Roman" w:eastAsia="仿宋_GB2312" w:cs="Times New Roman"/>
          <w:sz w:val="32"/>
          <w:szCs w:val="32"/>
        </w:rPr>
        <w:t>在获得含有受保护的布图设计的集成电路或者含有该集成电路的物品时，不知道也没有合理理由应当知道其中含有非法复制的布图设计，而将其投入商业利用的，不视为侵权。</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前款行为人得到其中含有非法复制的布图设计的明确通知后，可以继续将现有的存货或者此前的订货投入商业利用，但应当向布图设计权利人支付合理的报酬。</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第三十四条　</w:t>
      </w:r>
      <w:r>
        <w:rPr>
          <w:rFonts w:ascii="Times New Roman" w:hAnsi="Times New Roman" w:eastAsia="仿宋_GB2312" w:cs="Times New Roman"/>
          <w:sz w:val="32"/>
          <w:szCs w:val="32"/>
        </w:rPr>
        <w:t>国务院知识产权行政部门的工作人员在布图设计管理工作中玩忽职守、滥用职权、徇私舞弊，构成犯罪的，依法追究刑事责任；尚不构成犯罪的，依法给予行政处分。</w:t>
      </w:r>
    </w:p>
    <w:p>
      <w:pPr>
        <w:pStyle w:val="2"/>
        <w:bidi w:val="0"/>
      </w:pPr>
      <w:r>
        <w:t>第六章　附则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第三十五条　</w:t>
      </w:r>
      <w:r>
        <w:rPr>
          <w:rFonts w:ascii="Times New Roman" w:hAnsi="Times New Roman" w:eastAsia="仿宋_GB2312" w:cs="Times New Roman"/>
          <w:sz w:val="32"/>
          <w:szCs w:val="32"/>
        </w:rPr>
        <w:t>申请布图设计登记和办理其他手续，应当按照规定缴纳费用。缴费标准由国务院物价主管部门、国务院知识产权行政部门制定，并由国务院知识产权行政部门公告。</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第三十六条　</w:t>
      </w:r>
      <w:r>
        <w:rPr>
          <w:rFonts w:ascii="Times New Roman" w:hAnsi="Times New Roman" w:eastAsia="仿宋_GB2312" w:cs="Times New Roman"/>
          <w:sz w:val="32"/>
          <w:szCs w:val="32"/>
        </w:rPr>
        <w:t>本条例自2001年10月1日起施行。</w:t>
      </w:r>
    </w:p>
    <w:sectPr>
      <w:footerReference r:id="rId3" w:type="default"/>
      <w:pgSz w:w="11906" w:h="16838"/>
      <w:pgMar w:top="1440" w:right="1753" w:bottom="1440" w:left="1753"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
    <w:altName w:val="Dark Courier"/>
    <w:panose1 w:val="00000000000000000000"/>
    <w:charset w:val="00"/>
    <w:family w:val="auto"/>
    <w:pitch w:val="default"/>
    <w:sig w:usb0="00000000" w:usb1="00000000" w:usb2="00000000" w:usb3="00000000" w:csb0="00000000" w:csb1="00000000"/>
  </w:font>
  <w:font w:name="Dark Courier">
    <w:panose1 w:val="02070409020205020404"/>
    <w:charset w:val="00"/>
    <w:family w:val="auto"/>
    <w:pitch w:val="default"/>
    <w:sig w:usb0="00000000" w:usb1="00000000" w:usb2="00000000" w:usb3="00000000" w:csb0="00000093" w:csb1="00000000"/>
  </w:font>
  <w:font w:name="方正中倩_GBK">
    <w:panose1 w:val="03000509000000000000"/>
    <w:charset w:val="86"/>
    <w:family w:val="auto"/>
    <w:pitch w:val="default"/>
    <w:sig w:usb0="00000001" w:usb1="080E0000" w:usb2="00000000" w:usb3="00000000" w:csb0="00040000" w:csb1="00000000"/>
  </w:font>
  <w:font w:name="方正">
    <w:altName w:val="Dark Courier"/>
    <w:panose1 w:val="00000000000000000000"/>
    <w:charset w:val="00"/>
    <w:family w:val="auto"/>
    <w:pitch w:val="default"/>
    <w:sig w:usb0="00000000" w:usb1="00000000" w:usb2="00000000" w:usb3="00000000" w:csb0="00000000" w:csb1="00000000"/>
  </w:font>
  <w:font w:name="方正黑">
    <w:altName w:val="黑体"/>
    <w:panose1 w:val="00000000000000000000"/>
    <w:charset w:val="00"/>
    <w:family w:val="auto"/>
    <w:pitch w:val="default"/>
    <w:sig w:usb0="00000000" w:usb1="00000000" w:usb2="00000000" w:usb3="00000000" w:csb0="0000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yrfOLxgEAAGsDAAAOAAAAAAAAAAEAIAAAAB4BAABkcnMvZTJvRG9jLnht&#10;bFBLBQYAAAAABgAGAFkBAABWBQAAAAA=&#10;">
              <v:fill on="f" focussize="0,0"/>
              <v:stroke on="f"/>
              <v:imagedata o:title=""/>
              <o:lock v:ext="edit" aspectratio="f"/>
              <v:textbox inset="0mm,0mm,0mm,0mm" style="mso-fit-shape-to-text:t;">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v:textbox>
            </v:shape>
          </w:pict>
        </mc:Fallback>
      </mc:AlternateContent>
    </w:r>
    <w:sdt>
      <w:sdtPr>
        <w:id w:val="7337133"/>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CF6706"/>
    <w:rsid w:val="155E2CB3"/>
    <w:rsid w:val="18413C16"/>
    <w:rsid w:val="2FF20DF5"/>
    <w:rsid w:val="2FFD72E7"/>
    <w:rsid w:val="354E143B"/>
    <w:rsid w:val="4EDF3D2B"/>
    <w:rsid w:val="4F4F26F0"/>
    <w:rsid w:val="5080370D"/>
    <w:rsid w:val="61152047"/>
    <w:rsid w:val="620467BA"/>
    <w:rsid w:val="622D2BEC"/>
    <w:rsid w:val="65BF6566"/>
    <w:rsid w:val="6DB87D30"/>
    <w:rsid w:val="778F2A81"/>
    <w:rsid w:val="7814798C"/>
    <w:rsid w:val="7A6D55E9"/>
    <w:rsid w:val="7B2B5F0E"/>
    <w:rsid w:val="7C0E15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jc w:val="center"/>
      <w:outlineLvl w:val="0"/>
    </w:pPr>
    <w:rPr>
      <w:rFonts w:eastAsia="方正黑体_GBK" w:asciiTheme="minorAscii" w:hAnsiTheme="minorAscii"/>
      <w:bCs/>
      <w:kern w:val="44"/>
      <w:sz w:val="32"/>
      <w:szCs w:val="44"/>
    </w:rPr>
  </w:style>
  <w:style w:type="paragraph" w:styleId="3">
    <w:name w:val="heading 2"/>
    <w:basedOn w:val="1"/>
    <w:next w:val="1"/>
    <w:link w:val="2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1"/>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3"/>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4"/>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5"/>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6"/>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5">
    <w:name w:val="Default Paragraph Font"/>
    <w:semiHidden/>
    <w:unhideWhenUsed/>
    <w:qFormat/>
    <w:uiPriority w:val="1"/>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Layout w:type="fixed"/>
      <w:tblCellMar>
        <w:top w:w="0" w:type="dxa"/>
        <w:left w:w="108" w:type="dxa"/>
        <w:bottom w:w="0" w:type="dxa"/>
        <w:right w:w="108" w:type="dxa"/>
      </w:tblCellMar>
    </w:tblPr>
  </w:style>
  <w:style w:type="paragraph" w:styleId="10">
    <w:name w:val="Plain Text"/>
    <w:basedOn w:val="1"/>
    <w:link w:val="16"/>
    <w:unhideWhenUsed/>
    <w:qFormat/>
    <w:uiPriority w:val="99"/>
    <w:rPr>
      <w:rFonts w:ascii="宋体" w:hAnsi="Courier New" w:eastAsia="宋体" w:cs="Courier New"/>
      <w:szCs w:val="21"/>
    </w:rPr>
  </w:style>
  <w:style w:type="paragraph" w:styleId="11">
    <w:name w:val="footer"/>
    <w:basedOn w:val="1"/>
    <w:link w:val="18"/>
    <w:semiHidden/>
    <w:unhideWhenUsed/>
    <w:qFormat/>
    <w:uiPriority w:val="99"/>
    <w:pPr>
      <w:tabs>
        <w:tab w:val="center" w:pos="4153"/>
        <w:tab w:val="right" w:pos="8306"/>
      </w:tabs>
      <w:snapToGrid w:val="0"/>
      <w:jc w:val="left"/>
    </w:pPr>
    <w:rPr>
      <w:sz w:val="18"/>
      <w:szCs w:val="18"/>
    </w:rPr>
  </w:style>
  <w:style w:type="paragraph" w:styleId="12">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semiHidden/>
    <w:unhideWhenUsed/>
    <w:qFormat/>
    <w:uiPriority w:val="99"/>
    <w:rPr>
      <w:sz w:val="24"/>
    </w:rPr>
  </w:style>
  <w:style w:type="character" w:customStyle="1" w:styleId="16">
    <w:name w:val="纯文本 Char"/>
    <w:basedOn w:val="15"/>
    <w:link w:val="10"/>
    <w:qFormat/>
    <w:uiPriority w:val="99"/>
    <w:rPr>
      <w:rFonts w:ascii="宋体" w:hAnsi="Courier New" w:eastAsia="宋体" w:cs="Courier New"/>
      <w:szCs w:val="21"/>
    </w:rPr>
  </w:style>
  <w:style w:type="character" w:customStyle="1" w:styleId="17">
    <w:name w:val="页眉 Char"/>
    <w:basedOn w:val="15"/>
    <w:link w:val="12"/>
    <w:semiHidden/>
    <w:qFormat/>
    <w:uiPriority w:val="99"/>
    <w:rPr>
      <w:sz w:val="18"/>
      <w:szCs w:val="18"/>
    </w:rPr>
  </w:style>
  <w:style w:type="character" w:customStyle="1" w:styleId="18">
    <w:name w:val="页脚 Char"/>
    <w:basedOn w:val="15"/>
    <w:link w:val="11"/>
    <w:semiHidden/>
    <w:qFormat/>
    <w:uiPriority w:val="99"/>
    <w:rPr>
      <w:sz w:val="18"/>
      <w:szCs w:val="18"/>
    </w:rPr>
  </w:style>
  <w:style w:type="character" w:customStyle="1" w:styleId="19">
    <w:name w:val="标题 1 Char"/>
    <w:basedOn w:val="15"/>
    <w:link w:val="2"/>
    <w:qFormat/>
    <w:uiPriority w:val="9"/>
    <w:rPr>
      <w:rFonts w:eastAsia="方正黑体_GBK" w:asciiTheme="minorAscii" w:hAnsiTheme="minorAscii"/>
      <w:bCs/>
      <w:kern w:val="44"/>
      <w:sz w:val="32"/>
      <w:szCs w:val="44"/>
    </w:rPr>
  </w:style>
  <w:style w:type="character" w:customStyle="1" w:styleId="20">
    <w:name w:val="标题 2 Char"/>
    <w:basedOn w:val="15"/>
    <w:link w:val="3"/>
    <w:semiHidden/>
    <w:qFormat/>
    <w:uiPriority w:val="9"/>
    <w:rPr>
      <w:rFonts w:asciiTheme="majorHAnsi" w:hAnsiTheme="majorHAnsi" w:eastAsiaTheme="majorEastAsia" w:cstheme="majorBidi"/>
      <w:b/>
      <w:bCs/>
      <w:sz w:val="32"/>
      <w:szCs w:val="32"/>
    </w:rPr>
  </w:style>
  <w:style w:type="character" w:customStyle="1" w:styleId="21">
    <w:name w:val="标题 3 Char"/>
    <w:basedOn w:val="15"/>
    <w:link w:val="4"/>
    <w:semiHidden/>
    <w:qFormat/>
    <w:uiPriority w:val="9"/>
    <w:rPr>
      <w:b/>
      <w:bCs/>
      <w:sz w:val="32"/>
      <w:szCs w:val="32"/>
    </w:rPr>
  </w:style>
  <w:style w:type="character" w:customStyle="1" w:styleId="22">
    <w:name w:val="标题 4 Char"/>
    <w:basedOn w:val="15"/>
    <w:link w:val="5"/>
    <w:semiHidden/>
    <w:qFormat/>
    <w:uiPriority w:val="9"/>
    <w:rPr>
      <w:rFonts w:asciiTheme="majorHAnsi" w:hAnsiTheme="majorHAnsi" w:eastAsiaTheme="majorEastAsia" w:cstheme="majorBidi"/>
      <w:b/>
      <w:bCs/>
      <w:sz w:val="28"/>
      <w:szCs w:val="28"/>
    </w:rPr>
  </w:style>
  <w:style w:type="character" w:customStyle="1" w:styleId="23">
    <w:name w:val="标题 5 Char"/>
    <w:basedOn w:val="15"/>
    <w:link w:val="6"/>
    <w:semiHidden/>
    <w:qFormat/>
    <w:uiPriority w:val="9"/>
    <w:rPr>
      <w:b/>
      <w:bCs/>
      <w:sz w:val="28"/>
      <w:szCs w:val="28"/>
    </w:rPr>
  </w:style>
  <w:style w:type="character" w:customStyle="1" w:styleId="24">
    <w:name w:val="标题 6 Char"/>
    <w:basedOn w:val="15"/>
    <w:link w:val="7"/>
    <w:semiHidden/>
    <w:qFormat/>
    <w:uiPriority w:val="9"/>
    <w:rPr>
      <w:rFonts w:asciiTheme="majorHAnsi" w:hAnsiTheme="majorHAnsi" w:eastAsiaTheme="majorEastAsia" w:cstheme="majorBidi"/>
      <w:b/>
      <w:bCs/>
      <w:sz w:val="24"/>
      <w:szCs w:val="24"/>
    </w:rPr>
  </w:style>
  <w:style w:type="character" w:customStyle="1" w:styleId="25">
    <w:name w:val="标题 7 Char"/>
    <w:basedOn w:val="15"/>
    <w:link w:val="8"/>
    <w:semiHidden/>
    <w:qFormat/>
    <w:uiPriority w:val="9"/>
    <w:rPr>
      <w:b/>
      <w:bCs/>
      <w:sz w:val="24"/>
      <w:szCs w:val="24"/>
    </w:rPr>
  </w:style>
  <w:style w:type="character" w:customStyle="1" w:styleId="26">
    <w:name w:val="标题 8 Char"/>
    <w:basedOn w:val="15"/>
    <w:link w:val="9"/>
    <w:semiHidden/>
    <w:qFormat/>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01CD5-9AB1-4EC9-9971-2CAEF1A4ABB9}">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267</Words>
  <Characters>1526</Characters>
  <Lines>12</Lines>
  <Paragraphs>3</Paragraphs>
  <TotalTime>3</TotalTime>
  <ScaleCrop>false</ScaleCrop>
  <LinksUpToDate>false</LinksUpToDate>
  <CharactersWithSpaces>1790</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Administrator</cp:lastModifiedBy>
  <dcterms:modified xsi:type="dcterms:W3CDTF">2019-07-05T06:01:13Z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